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color w:val="11204c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40"/>
          <w:szCs w:val="40"/>
          <w:highlight w:val="white"/>
          <w:rtl w:val="0"/>
        </w:rPr>
        <w:t xml:space="preserve">Repunte y resiliencia en la segunda mitad del año, principales resultados de Edenred en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color w:val="11204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Edenred, plataforma líder en emisión en pagos y servicios para empresas, presentó su estado de resultados del 2020, enfatizando la recuperación y un importante crecimiento para la segunda mitad del año. Aprovechando el escenario de transformación digital y la explosión de los modelos a distancia, como el teletrabajo y las transacciones virtuales, el Grupo demostró resistencia a la crisis y solidez operativa a pesar de la contingencia generada por la pandemia de COVID-19 con objetivo de continuar su tendencia al alza en 2021.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  <w:rtl w:val="0"/>
        </w:rPr>
        <w:t xml:space="preserve">Cifras generales en 2020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Los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1204c"/>
          <w:sz w:val="19"/>
          <w:szCs w:val="19"/>
          <w:rtl w:val="0"/>
        </w:rPr>
        <w:t xml:space="preserve">ingresos operativos ascendieron a 1.423 millones de euros</w:t>
      </w: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, lo que supone un descenso del 1,6% en términos comparables con el año anterior, con un aumento del 1,3% en Europa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Crecimiento de los ingresos operativos en términos comparables del 1,1% en el segundo semestre (+1,2% en el cuarto trimestre)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b w:val="1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1204c"/>
          <w:sz w:val="19"/>
          <w:szCs w:val="19"/>
          <w:rtl w:val="0"/>
        </w:rPr>
        <w:t xml:space="preserve">Ingresos totales de 1.465 millones de euros</w:t>
      </w: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 y un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1204c"/>
          <w:sz w:val="19"/>
          <w:szCs w:val="19"/>
          <w:rtl w:val="0"/>
        </w:rPr>
        <w:t xml:space="preserve"> EBITDA de 580 millones de euros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jc w:val="both"/>
        <w:rPr>
          <w:rFonts w:ascii="Century Gothic" w:cs="Century Gothic" w:eastAsia="Century Gothic" w:hAnsi="Century Gothic"/>
          <w:b w:val="1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entury Gothic" w:cs="Century Gothic" w:eastAsia="Century Gothic" w:hAnsi="Century Gothic"/>
          <w:i w:val="1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1204c"/>
          <w:sz w:val="19"/>
          <w:szCs w:val="19"/>
          <w:rtl w:val="0"/>
        </w:rPr>
        <w:t xml:space="preserve">Bertrand Dumazy, CEO de Edenred</w:t>
      </w: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, reconoció la labor de su equipo de trabajo durante el periodo más duro de la pandemia: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11204c"/>
          <w:sz w:val="19"/>
          <w:szCs w:val="19"/>
          <w:rtl w:val="0"/>
        </w:rPr>
        <w:t xml:space="preserve"> Los 10,000 empleados del Grupo utilizaron toda su energía y pasión para continuar sirviendo a nuestros clientes, usuarios y comerciantes asociados en los 46 países en los que operamos. Como resultado, pudimos limitar el impacto de la crisis de salud en el primer semestre y volver al crecimiento en el tercer trimestre registrando, en general, un desempeño financiero sólido para el año. Quiero dar mi más sincero agradecimiento a todos nuestros equipos, que demostraron un nivel ejemplar de compromiso y espíritu comunitario durante este año sin precedentes.”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entury Gothic" w:cs="Century Gothic" w:eastAsia="Century Gothic" w:hAnsi="Century Gothic"/>
          <w:i w:val="1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  <w:rtl w:val="0"/>
        </w:rPr>
        <w:t xml:space="preserve">Principales factores de recuperación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A pesar de las situaciones adversas del año pasado, Edenred pudo hacerle frente y prepararse para el 2021, aumentando sus inversiones y aprovechando su agilidad, así como el fuerte impulso de ventas. Estos son algunos de los puntos clave que lograron la recuperación y resiliencia del Grupo.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Desarrollo de soluciones de fondos asignados para brindar apoyo específico a los sectores más afectados por la crisis, como restaurantes y turismo.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Lanzamiento y puesta en marcha de nuevas ofertas y soluciones, como el mantenimiento de flota en Brasil, Ticket Mobilité en Francia y Ticket Restaurant en Estados Unidos.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Aceleración de la política de responsabilidad social corporativa, con mejoras en indicadores clave en las tres áreas: “Personas, Planeta, Progreso”.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Aceleración de la digitalización por la crisis, por ejemplo, en Beneficios para Empleados en Europa se registró un aumento de más de 9 puntos frente a 2019, impulsada sobre todo por un uso más extendido del trabajo a distancia.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Nuevas mejoras en la oferta de servicios, con el aumento del uso del pago móvil o de las conexiones app-to-app con las plataformas de entrega de comidas, un desarrollo clave en el contexto de la crisis sanitaria.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Capacidad en desarrollar soluciones de pago con fines específicos para impulsar los planes de estímulo económico y social.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entury Gothic" w:cs="Century Gothic" w:eastAsia="Century Gothic" w:hAnsi="Century Gothic"/>
          <w:i w:val="1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  <w:rtl w:val="0"/>
        </w:rPr>
        <w:t xml:space="preserve">Resultados en México y América Latina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En Latinoamérica, los ingresos operativos de Edenred tuvieron una disminución del 6.7% en términos comparables y un 27.4% menos de acuerdo con lo informado. Este impacto refleja la caída del valor de divisas como el real brasileño y el peso mexicano (-25% y -12%, respectivamente). Cabe destacar que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1204c"/>
          <w:sz w:val="19"/>
          <w:szCs w:val="19"/>
          <w:rtl w:val="0"/>
        </w:rPr>
        <w:t xml:space="preserve">América Latina representó el 29% de los ingresos </w:t>
      </w: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operativos consolidados del Grupo en 2020.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En América Latina fue notable la afectación particular por la crisis, debido a la implementación de restricciones que duraron más tiempo que en otras regiones. Como consecuencia, los ingresos operativos se redujeron un 8.8% en términos comparables. Tras el levantamiento gradual y parcial de la contingencia en varios países, los ingresos operativos sólo cayeron un 4.2% en el cuarto trimestre, lo que representa una fuerte mejora con respecto al trimestre anterior (-15,4%).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México, el principal mercado de Edenred en la región, siguió viéndose afectado por la crisis, debido a factores como la recesión económica, el aumento del desempleo y la reducción en los precios del combustible.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11204c"/>
          <w:sz w:val="19"/>
          <w:szCs w:val="19"/>
          <w:rtl w:val="0"/>
        </w:rPr>
        <w:t xml:space="preserve">El futuro inmediato para Edenred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El 2021 lleva tres meses, pero es probable que la primera mitad del año se vea afectada por restricciones de salud; no obstante, la tendencia de Edenred es de crecimiento. A pesar de la incertidumbre sanitaria, el Grupo buscará lograr un crecimiento del EBITDA (ganancias brutas antes de intereses, impuestos, amortizaciones y depreciaciones) comparable en 2021 de un mínimo del 6%.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color w:val="11204c"/>
          <w:sz w:val="19"/>
          <w:szCs w:val="19"/>
          <w:rtl w:val="0"/>
        </w:rPr>
        <w:t xml:space="preserve">Para lograrlo cuenta con innovación y excelencia empresarial que ayudarán a acelerar el ritmo operativo y generar crecimiento sostenible y rentable en la nueva realidad. En adición, Edenred ha sabido aprovechar las oportunidades creadas por las macrotendencias en el mundo del trabajo y la aceleración digital. Al aprovechar estos cambios y su posición única como plataforma que conecta a 50 millones de usuarios con 2 millones de comerciantes asociados diariamente para satisfacer sus necesidades esenciales (comer, moverse o pagar), Edenred ha mantenido intacto su potencial de crecimiento a pesar del impacto económico de la crisis sanitaria.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entury Gothic" w:cs="Century Gothic" w:eastAsia="Century Gothic" w:hAnsi="Century Gothic"/>
          <w:color w:val="11204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360" w:lineRule="auto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6"/>
          <w:szCs w:val="16"/>
          <w:rtl w:val="0"/>
        </w:rPr>
        <w:t xml:space="preserve">▬▬</w:t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b w:val="1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b w:val="1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b w:val="1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b w:val="1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b w:val="1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b w:val="1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6"/>
          <w:szCs w:val="16"/>
          <w:rtl w:val="0"/>
        </w:rPr>
        <w:t xml:space="preserve">Edenred 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es la plataforma líder en servicios y pagos, así como el compañero cotidiano para los trabajadores, conectando a 50 millones de empleados, 2 millones de comercios asociados en 46 países a través de más de 850,000 clientes corporativos.</w:t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Edenred ofrece soluciones de pago para propósitos específicos como: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6"/>
          <w:szCs w:val="16"/>
          <w:rtl w:val="0"/>
        </w:rPr>
        <w:t xml:space="preserve">alimentación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 (vales de despensa y restaurante),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6"/>
          <w:szCs w:val="16"/>
          <w:rtl w:val="0"/>
        </w:rPr>
        <w:t xml:space="preserve">flota y movilidad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 (tarjetas de combustible, mantenimiento, peaje, estacionamientos y pases de transporte),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6"/>
          <w:szCs w:val="16"/>
          <w:rtl w:val="0"/>
        </w:rPr>
        <w:t xml:space="preserve">incentivos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 (tarjetas de regalo, plataformas de lealtad de empleados)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6"/>
          <w:szCs w:val="16"/>
          <w:rtl w:val="0"/>
        </w:rPr>
        <w:t xml:space="preserve">y gastos corporativos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 (tarjetas virtuales). Estas soluciones mejoran el poder adquisitivo y el bienestar de los trabajadores, mejorando la atracción y la eficiencia de las empresas, revitalizando el mercado laboral y la economía local.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También fomentan el acceso a alimentos más sanos, productos más ecológicos y una movilidad más sencilla.</w:t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Los 10,000 empleados de Edenred están comprometidos para hacer del mundo un ecosistema conectado que sea seguro, eficiente y más fácil de usar día con día.</w:t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En 2020, gracias a sus activos tecnológicos globales, el Grupo Edenred gestionó un volumen de negocio de €30 mil millones principalmente a través de aplicaciones móviles, plataformas online y tarjetas.</w:t>
      </w:r>
    </w:p>
    <w:p w:rsidR="00000000" w:rsidDel="00000000" w:rsidP="00000000" w:rsidRDefault="00000000" w:rsidRPr="00000000" w14:paraId="0000003D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276" w:lineRule="auto"/>
        <w:jc w:val="both"/>
        <w:rPr>
          <w:rFonts w:ascii="Century Gothic" w:cs="Century Gothic" w:eastAsia="Century Gothic" w:hAnsi="Century Gothic"/>
          <w:color w:val="162056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6"/>
          <w:szCs w:val="16"/>
          <w:rtl w:val="0"/>
        </w:rPr>
        <w:t xml:space="preserve">Edenred cotiza en la bolsa de valores Euronext de París y está incluida en los siguientes índices: CAC Next 20, FTSE4Good, DJSI Europe y MSCI Europe.</w:t>
      </w:r>
    </w:p>
    <w:p w:rsidR="00000000" w:rsidDel="00000000" w:rsidP="00000000" w:rsidRDefault="00000000" w:rsidRPr="00000000" w14:paraId="0000003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entury Gothic" w:cs="Century Gothic" w:eastAsia="Century Gothic" w:hAnsi="Century Gothic"/>
          <w:i w:val="1"/>
          <w:sz w:val="14"/>
          <w:szCs w:val="1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4"/>
          <w:szCs w:val="14"/>
          <w:rtl w:val="0"/>
        </w:rPr>
        <w:t xml:space="preserve">Los logotipos y otras marcas comerciales mencionadas y presentadas en este comunicado de prensa son marcas registradas de Edenred S.A., sus filiales o terceros. No pueden utilizarse con fines comerciales sin el consentimiento previo por escrito de sus propietarios.</w:t>
      </w:r>
    </w:p>
    <w:p w:rsidR="00000000" w:rsidDel="00000000" w:rsidP="00000000" w:rsidRDefault="00000000" w:rsidRPr="00000000" w14:paraId="00000042">
      <w:pPr>
        <w:jc w:val="both"/>
        <w:rPr>
          <w:rFonts w:ascii="Century Gothic" w:cs="Century Gothic" w:eastAsia="Century Gothic" w:hAnsi="Century Gothic"/>
          <w:color w:val="00206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▬▬</w:t>
      </w:r>
    </w:p>
    <w:p w:rsidR="00000000" w:rsidDel="00000000" w:rsidP="00000000" w:rsidRDefault="00000000" w:rsidRPr="00000000" w14:paraId="00000044">
      <w:pPr>
        <w:spacing w:line="259" w:lineRule="auto"/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9" w:lineRule="auto"/>
        <w:rPr>
          <w:rFonts w:ascii="Century Gothic" w:cs="Century Gothic" w:eastAsia="Century Gothic" w:hAnsi="Century Gothic"/>
          <w:b w:val="1"/>
          <w:color w:val="16205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20"/>
          <w:szCs w:val="20"/>
          <w:rtl w:val="0"/>
        </w:rPr>
        <w:t xml:space="preserve">CONTACTOS</w:t>
      </w:r>
    </w:p>
    <w:p w:rsidR="00000000" w:rsidDel="00000000" w:rsidP="00000000" w:rsidRDefault="00000000" w:rsidRPr="00000000" w14:paraId="00000046">
      <w:pPr>
        <w:spacing w:line="259" w:lineRule="auto"/>
        <w:rPr>
          <w:rFonts w:ascii="Century Gothic" w:cs="Century Gothic" w:eastAsia="Century Gothic" w:hAnsi="Century Gothic"/>
          <w:b w:val="1"/>
          <w:color w:val="16205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c>
          <w:tcPr/>
          <w:p w:rsidR="00000000" w:rsidDel="00000000" w:rsidP="00000000" w:rsidRDefault="00000000" w:rsidRPr="00000000" w14:paraId="00000047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  <w:rtl w:val="0"/>
              </w:rPr>
              <w:t xml:space="preserve">Director de Estrategia &amp; Marketing</w:t>
            </w:r>
          </w:p>
          <w:p w:rsidR="00000000" w:rsidDel="00000000" w:rsidP="00000000" w:rsidRDefault="00000000" w:rsidRPr="00000000" w14:paraId="00000048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Santiago Gómez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3339 1481</w:t>
            </w:r>
          </w:p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santiago.gomez@edenred.com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  <w:rtl w:val="0"/>
              </w:rPr>
              <w:t xml:space="preserve">Marketing Communication &amp; PR Manager</w:t>
            </w:r>
          </w:p>
          <w:p w:rsidR="00000000" w:rsidDel="00000000" w:rsidP="00000000" w:rsidRDefault="00000000" w:rsidRPr="00000000" w14:paraId="0000004C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Victoria Balboa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3555 8287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victoria.balboa@edenred.com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  <w:rtl w:val="0"/>
              </w:rPr>
              <w:t xml:space="preserve">Relaciones con prensa: Another Company </w:t>
            </w:r>
          </w:p>
          <w:p w:rsidR="00000000" w:rsidDel="00000000" w:rsidP="00000000" w:rsidRDefault="00000000" w:rsidRPr="00000000" w14:paraId="00000051">
            <w:pPr>
              <w:spacing w:line="259" w:lineRule="auto"/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  <w:rtl w:val="0"/>
              </w:rPr>
              <w:t xml:space="preserve">Ricardo García</w:t>
            </w:r>
          </w:p>
          <w:p w:rsidR="00000000" w:rsidDel="00000000" w:rsidP="00000000" w:rsidRDefault="00000000" w:rsidRPr="00000000" w14:paraId="00000052">
            <w:pPr>
              <w:spacing w:line="259" w:lineRule="auto"/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  <w:rtl w:val="0"/>
              </w:rPr>
              <w:t xml:space="preserve">+52 (55) 1452 9158</w:t>
            </w:r>
          </w:p>
          <w:p w:rsidR="00000000" w:rsidDel="00000000" w:rsidP="00000000" w:rsidRDefault="00000000" w:rsidRPr="00000000" w14:paraId="00000053">
            <w:pPr>
              <w:spacing w:line="259" w:lineRule="auto"/>
              <w:rPr>
                <w:rFonts w:ascii="Century Gothic" w:cs="Century Gothic" w:eastAsia="Century Gothic" w:hAnsi="Century Gothic"/>
                <w:color w:val="11204c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ricardo.garcia@another.co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Ernesto Pacheco</w:t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5213 5035</w:t>
            </w:r>
          </w:p>
          <w:p w:rsidR="00000000" w:rsidDel="00000000" w:rsidP="00000000" w:rsidRDefault="00000000" w:rsidRPr="00000000" w14:paraId="00000058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ernesto.pacheco@another.co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color w:val="11204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pgSz w:h="16840" w:w="11900" w:orient="portrait"/>
      <w:pgMar w:bottom="794" w:top="1304" w:left="1418" w:right="11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28575</wp:posOffset>
          </wp:positionV>
          <wp:extent cx="1373968" cy="88094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5924"/>
    <w:rPr>
      <w:lang w:val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CB5924"/>
    <w:rPr>
      <w:color w:val="0563c1" w:themeColor="hyperlink"/>
      <w:u w:val="single"/>
    </w:rPr>
  </w:style>
  <w:style w:type="paragraph" w:styleId="EdenredTitle" w:customStyle="1">
    <w:name w:val="Edenred Title"/>
    <w:basedOn w:val="Normal"/>
    <w:uiPriority w:val="1"/>
    <w:rsid w:val="00CB5924"/>
    <w:pPr>
      <w:spacing w:line="259" w:lineRule="auto"/>
      <w:jc w:val="both"/>
    </w:pPr>
    <w:rPr>
      <w:rFonts w:cs="Arial" w:eastAsia="Times New Roman"/>
      <w:color w:val="44546a" w:themeColor="text2"/>
      <w:sz w:val="40"/>
      <w:szCs w:val="40"/>
    </w:rPr>
  </w:style>
  <w:style w:type="table" w:styleId="Tablaconcuadrcula">
    <w:name w:val="Table Grid"/>
    <w:basedOn w:val="Tablanormal"/>
    <w:uiPriority w:val="39"/>
    <w:rsid w:val="00CB5924"/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 w:val="1"/>
    <w:rsid w:val="00E73ED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3ED8"/>
    <w:rPr>
      <w:lang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E73ED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3ED8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rnesto.pacheco@another.co" TargetMode="External"/><Relationship Id="rId9" Type="http://schemas.openxmlformats.org/officeDocument/2006/relationships/hyperlink" Target="mailto:isaac.salas@extrategi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ntiago.gomez@edenred.com" TargetMode="External"/><Relationship Id="rId8" Type="http://schemas.openxmlformats.org/officeDocument/2006/relationships/hyperlink" Target="mailto:victoria.balboa@edenre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3J8zSEwqLhuS188GfLi4X7G4Bg==">AMUW2mXf8QE4ZF9zDsB53jAUDGfD0Aq6W7ScdDpCWW7DGQWI+IzzgFnNwP8GOQdkakNMqnpRW4TOX6unKCrRU98pm9sQcvL+M0wRpw5isCZpXFPhDgzac+w+nA+B5i48smS9u0GtRp5R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2021-03-17T00:24:00Z</dcterms:created>
  <dc:creator>Cuenta Microsoft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0x010100E95435124D11DE4FAC09B94581F56956</vt:lpwstr>
  </property>
</Properties>
</file>